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70A" w:rsidRPr="00B53C53" w:rsidRDefault="008A170A" w:rsidP="008A170A">
      <w:pPr>
        <w:rPr>
          <w:b/>
          <w:u w:val="single"/>
        </w:rPr>
      </w:pPr>
      <w:r w:rsidRPr="00B53C53">
        <w:rPr>
          <w:b/>
          <w:u w:val="single"/>
        </w:rPr>
        <w:t>Groupe scolaire Saint-Cyr-sur-Loire</w:t>
      </w:r>
      <w:r>
        <w:rPr>
          <w:b/>
          <w:u w:val="single"/>
        </w:rPr>
        <w:t>.</w:t>
      </w:r>
    </w:p>
    <w:p w:rsidR="00530A63" w:rsidRDefault="008A170A">
      <w:pPr>
        <w:rPr>
          <w:b/>
          <w:u w:val="single"/>
        </w:rPr>
      </w:pPr>
      <w:r w:rsidRPr="008A170A">
        <w:rPr>
          <w:b/>
          <w:u w:val="single"/>
        </w:rPr>
        <w:t>Justification de la maîtrise de l’énergie et de la gestion des ressources en eau.</w:t>
      </w:r>
    </w:p>
    <w:p w:rsidR="008A170A" w:rsidRPr="003E2AC7" w:rsidRDefault="008A170A" w:rsidP="008A170A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3E2AC7">
        <w:rPr>
          <w:b/>
          <w:u w:val="single"/>
        </w:rPr>
        <w:t>Gestion de l’énergie.</w:t>
      </w:r>
    </w:p>
    <w:p w:rsidR="008A170A" w:rsidRPr="008A170A" w:rsidRDefault="008A170A" w:rsidP="008A170A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A170A">
        <w:rPr>
          <w:rFonts w:cs="Arial"/>
        </w:rPr>
        <w:t>Le projet a un objectif énergétique, à savoir un gain sur la cons</w:t>
      </w:r>
      <w:r>
        <w:rPr>
          <w:rFonts w:cs="Arial"/>
        </w:rPr>
        <w:t xml:space="preserve">ommation énergétique en énergie </w:t>
      </w:r>
      <w:r w:rsidRPr="008A170A">
        <w:rPr>
          <w:rFonts w:cs="Arial"/>
        </w:rPr>
        <w:t>primaire inférieure à 50% de la référence.</w:t>
      </w:r>
    </w:p>
    <w:p w:rsidR="008A170A" w:rsidRDefault="008A170A" w:rsidP="008A170A">
      <w:pPr>
        <w:rPr>
          <w:rFonts w:cs="Arial"/>
        </w:rPr>
      </w:pPr>
      <w:r w:rsidRPr="008A170A">
        <w:rPr>
          <w:rFonts w:cs="Arial"/>
        </w:rPr>
        <w:t>Le détail des parois et des résultats sont d</w:t>
      </w:r>
      <w:r w:rsidR="003E2AC7">
        <w:rPr>
          <w:rFonts w:cs="Arial"/>
        </w:rPr>
        <w:t>écrits dans la notice thermique  avec les conclusions suivantes :</w:t>
      </w:r>
    </w:p>
    <w:p w:rsidR="003E2AC7" w:rsidRDefault="003E2AC7" w:rsidP="003E2AC7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="ArialMT" w:hAnsi="Calibri" w:cs="Arial"/>
        </w:rPr>
      </w:pPr>
      <w:r w:rsidRPr="00B42E27">
        <w:rPr>
          <w:rFonts w:ascii="Calibri" w:hAnsi="Calibri"/>
        </w:rPr>
        <w:t xml:space="preserve">Performance de l’enveloppe </w:t>
      </w:r>
      <w:r w:rsidRPr="00B42E27">
        <w:rPr>
          <w:rFonts w:ascii="Calibri" w:eastAsia="ArialMT" w:hAnsi="Calibri" w:cs="ArialMT"/>
        </w:rPr>
        <w:t>(</w:t>
      </w:r>
      <w:proofErr w:type="spellStart"/>
      <w:r w:rsidRPr="00B42E27">
        <w:rPr>
          <w:rFonts w:ascii="Calibri" w:eastAsia="ArialMT" w:hAnsi="Calibri" w:cs="ArialMT"/>
        </w:rPr>
        <w:t>Bbio</w:t>
      </w:r>
      <w:proofErr w:type="spellEnd"/>
      <w:r w:rsidRPr="00B42E27">
        <w:rPr>
          <w:rFonts w:ascii="Calibri" w:eastAsia="ArialMT" w:hAnsi="Calibri" w:cs="ArialMT"/>
        </w:rPr>
        <w:t xml:space="preserve"> projet =</w:t>
      </w:r>
      <w:r w:rsidRPr="00B42E27">
        <w:rPr>
          <w:rFonts w:ascii="Calibri" w:eastAsia="ArialMT" w:hAnsi="Calibri" w:cs="Arial"/>
        </w:rPr>
        <w:t xml:space="preserve">38.60, </w:t>
      </w:r>
      <w:proofErr w:type="spellStart"/>
      <w:r w:rsidRPr="00B42E27">
        <w:rPr>
          <w:rFonts w:ascii="Calibri" w:eastAsia="ArialMT" w:hAnsi="Calibri" w:cs="Arial"/>
        </w:rPr>
        <w:t>Bbio</w:t>
      </w:r>
      <w:proofErr w:type="spellEnd"/>
      <w:r w:rsidRPr="00B42E27">
        <w:rPr>
          <w:rFonts w:ascii="Calibri" w:eastAsia="ArialMT" w:hAnsi="Calibri" w:cs="Arial"/>
        </w:rPr>
        <w:t xml:space="preserve"> max = 63.17) et le</w:t>
      </w:r>
      <w:r>
        <w:rPr>
          <w:rFonts w:ascii="Calibri" w:eastAsia="ArialMT" w:hAnsi="Calibri" w:cs="Arial"/>
        </w:rPr>
        <w:t xml:space="preserve"> </w:t>
      </w:r>
      <w:r w:rsidRPr="00B42E27">
        <w:rPr>
          <w:rFonts w:ascii="Calibri" w:eastAsia="ArialMT" w:hAnsi="Calibri" w:cs="Arial"/>
        </w:rPr>
        <w:t xml:space="preserve">niveau de consommation en énergie primaire du bâtiment (Cep projet = 42.00 </w:t>
      </w:r>
      <w:proofErr w:type="spellStart"/>
      <w:r w:rsidRPr="00B42E27">
        <w:rPr>
          <w:rFonts w:ascii="Calibri" w:eastAsia="ArialMT" w:hAnsi="Calibri" w:cs="Arial"/>
        </w:rPr>
        <w:t>kWhep</w:t>
      </w:r>
      <w:proofErr w:type="spellEnd"/>
      <w:r w:rsidRPr="00B42E27">
        <w:rPr>
          <w:rFonts w:ascii="Calibri" w:eastAsia="ArialMT" w:hAnsi="Calibri" w:cs="Arial"/>
        </w:rPr>
        <w:t>/m²/an,</w:t>
      </w:r>
      <w:r>
        <w:rPr>
          <w:rFonts w:ascii="Calibri" w:eastAsia="ArialMT" w:hAnsi="Calibri" w:cs="Arial"/>
        </w:rPr>
        <w:t xml:space="preserve"> </w:t>
      </w:r>
      <w:proofErr w:type="spellStart"/>
      <w:r w:rsidRPr="00B42E27">
        <w:rPr>
          <w:rFonts w:ascii="Calibri" w:eastAsia="ArialMT" w:hAnsi="Calibri" w:cs="Arial"/>
        </w:rPr>
        <w:t>Cepmax</w:t>
      </w:r>
      <w:proofErr w:type="spellEnd"/>
      <w:r w:rsidRPr="00B42E27">
        <w:rPr>
          <w:rFonts w:ascii="Calibri" w:eastAsia="ArialMT" w:hAnsi="Calibri" w:cs="Arial"/>
        </w:rPr>
        <w:t xml:space="preserve"> = 90.20 </w:t>
      </w:r>
      <w:proofErr w:type="spellStart"/>
      <w:r w:rsidRPr="00B42E27">
        <w:rPr>
          <w:rFonts w:ascii="Calibri" w:eastAsia="ArialMT" w:hAnsi="Calibri" w:cs="Arial"/>
        </w:rPr>
        <w:t>kWhep</w:t>
      </w:r>
      <w:proofErr w:type="spellEnd"/>
      <w:r w:rsidRPr="00B42E27">
        <w:rPr>
          <w:rFonts w:ascii="Calibri" w:eastAsia="ArialMT" w:hAnsi="Calibri" w:cs="Arial"/>
        </w:rPr>
        <w:t>/m²/an) sont bien plus performants que les exigences de la RT 2012 que</w:t>
      </w:r>
      <w:r>
        <w:rPr>
          <w:rFonts w:ascii="Calibri" w:eastAsia="ArialMT" w:hAnsi="Calibri" w:cs="Arial"/>
        </w:rPr>
        <w:t xml:space="preserve"> </w:t>
      </w:r>
      <w:r w:rsidRPr="00B42E27">
        <w:rPr>
          <w:rFonts w:ascii="Calibri" w:eastAsia="ArialMT" w:hAnsi="Calibri" w:cs="Arial"/>
        </w:rPr>
        <w:t>le bâtiment respecte en atteignant même le niveau EFFINERGIE+.</w:t>
      </w:r>
    </w:p>
    <w:p w:rsidR="003E2AC7" w:rsidRPr="00B42E27" w:rsidRDefault="003E2AC7" w:rsidP="003E2AC7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="ArialMT" w:hAnsi="Calibri" w:cs="Arial"/>
        </w:rPr>
      </w:pPr>
      <w:r w:rsidRPr="00B42E27">
        <w:rPr>
          <w:rFonts w:ascii="Calibri" w:eastAsia="ArialMT" w:hAnsi="Calibri" w:cs="ArialMT"/>
        </w:rPr>
        <w:t>Le gain de performance par rapport aux gardes fous sur l’envelop</w:t>
      </w:r>
      <w:r w:rsidRPr="00B42E27">
        <w:rPr>
          <w:rFonts w:ascii="Calibri" w:eastAsia="ArialMT" w:hAnsi="Calibri" w:cs="Arial"/>
        </w:rPr>
        <w:t>pe et sur les consommations en</w:t>
      </w:r>
      <w:r w:rsidR="00E041D2">
        <w:rPr>
          <w:rFonts w:ascii="Calibri" w:eastAsia="ArialMT" w:hAnsi="Calibri" w:cs="Arial"/>
        </w:rPr>
        <w:t xml:space="preserve"> </w:t>
      </w:r>
      <w:r w:rsidRPr="00B42E27">
        <w:rPr>
          <w:rFonts w:ascii="Calibri" w:eastAsia="ArialMT" w:hAnsi="Calibri" w:cs="Arial"/>
        </w:rPr>
        <w:t>énergie primaire est respectivement de 38.89% et 53.44%.</w:t>
      </w:r>
    </w:p>
    <w:p w:rsidR="003E2AC7" w:rsidRPr="003E2AC7" w:rsidRDefault="003E2AC7" w:rsidP="003E2AC7">
      <w:pPr>
        <w:pStyle w:val="Paragraphedeliste"/>
        <w:numPr>
          <w:ilvl w:val="0"/>
          <w:numId w:val="4"/>
        </w:numPr>
        <w:rPr>
          <w:rFonts w:ascii="Calibri" w:hAnsi="Calibri"/>
        </w:rPr>
      </w:pPr>
      <w:r w:rsidRPr="00B42E27">
        <w:rPr>
          <w:rFonts w:ascii="Calibri" w:eastAsia="ArialMT" w:hAnsi="Calibri" w:cs="ArialMT"/>
        </w:rPr>
        <w:t>L’objectif énergétique programmatique est donc respecté. Il s’agit d’un gain sur le Cep de 50%.</w:t>
      </w:r>
      <w:bookmarkStart w:id="0" w:name="_GoBack"/>
      <w:bookmarkEnd w:id="0"/>
    </w:p>
    <w:p w:rsidR="003E2AC7" w:rsidRDefault="003E2AC7" w:rsidP="003E2AC7">
      <w:pPr>
        <w:rPr>
          <w:rFonts w:ascii="Calibri" w:hAnsi="Calibri"/>
        </w:rPr>
      </w:pPr>
      <w:r>
        <w:rPr>
          <w:rFonts w:ascii="Calibri" w:hAnsi="Calibri"/>
        </w:rPr>
        <w:t>La gestion de l’énergie est aussi très performante par la prise en compte des éléments suivants :</w:t>
      </w:r>
    </w:p>
    <w:p w:rsidR="003E2AC7" w:rsidRDefault="003E2AC7" w:rsidP="003E2AC7">
      <w:pPr>
        <w:pStyle w:val="Paragraphedeliste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Très bonne étanchéité à l’air permettant de diminuer les déperditions associées aux fuites parasites.</w:t>
      </w:r>
    </w:p>
    <w:p w:rsidR="003E2AC7" w:rsidRDefault="003E2AC7" w:rsidP="003E2AC7">
      <w:pPr>
        <w:pStyle w:val="Paragraphedeliste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Prise en compte du facteur lumière du jour (FLJ) par pièce type pour optimiser la consommation énergétique liée à l’éclairage artificielle.</w:t>
      </w:r>
    </w:p>
    <w:p w:rsidR="003E2AC7" w:rsidRPr="003E2AC7" w:rsidRDefault="003E2AC7" w:rsidP="003E2AC7">
      <w:pPr>
        <w:pStyle w:val="Paragraphedeliste"/>
        <w:numPr>
          <w:ilvl w:val="0"/>
          <w:numId w:val="4"/>
        </w:numPr>
        <w:rPr>
          <w:rFonts w:ascii="Calibri" w:hAnsi="Calibri"/>
        </w:rPr>
      </w:pPr>
      <w:r>
        <w:rPr>
          <w:rFonts w:ascii="Calibri" w:hAnsi="Calibri"/>
        </w:rPr>
        <w:t>Simulation thermodynamique permettant de prendre en compte les effets des protections solaires performantes et une gestion des débits d’air intelligents.</w:t>
      </w:r>
    </w:p>
    <w:p w:rsidR="003E2AC7" w:rsidRDefault="003E2AC7" w:rsidP="008A170A">
      <w:pPr>
        <w:rPr>
          <w:rFonts w:cs="Arial"/>
        </w:rPr>
      </w:pPr>
    </w:p>
    <w:p w:rsidR="008A170A" w:rsidRDefault="003E2AC7" w:rsidP="003E2AC7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3E2AC7">
        <w:rPr>
          <w:b/>
          <w:u w:val="single"/>
        </w:rPr>
        <w:t>Gestion de l’eau.</w:t>
      </w:r>
    </w:p>
    <w:p w:rsidR="003E2AC7" w:rsidRDefault="003E2AC7" w:rsidP="003E2AC7">
      <w:r>
        <w:t>Afin de maîtriser la consommation en eau potable qui est un enjeu économique pour les collectivités, les équipements mis en œuvre sont :</w:t>
      </w:r>
    </w:p>
    <w:p w:rsidR="003E2AC7" w:rsidRDefault="003E2AC7" w:rsidP="003E2AC7">
      <w:pPr>
        <w:pStyle w:val="Paragraphedeliste"/>
        <w:numPr>
          <w:ilvl w:val="0"/>
          <w:numId w:val="4"/>
        </w:numPr>
      </w:pPr>
      <w:r>
        <w:t>Econome en eau et les appareils performants dans l’ensemble des pièces d’eau.</w:t>
      </w:r>
    </w:p>
    <w:p w:rsidR="003E2AC7" w:rsidRDefault="003E2AC7" w:rsidP="003E2AC7">
      <w:pPr>
        <w:pStyle w:val="Paragraphedeliste"/>
        <w:numPr>
          <w:ilvl w:val="0"/>
          <w:numId w:val="4"/>
        </w:numPr>
      </w:pPr>
      <w:r>
        <w:t>La pression d’alimentation en eau sera limitée à 3 bars par souci d’économie en eau.</w:t>
      </w:r>
    </w:p>
    <w:p w:rsidR="003E2AC7" w:rsidRDefault="003E2AC7" w:rsidP="003E2AC7">
      <w:pPr>
        <w:pStyle w:val="Paragraphedeliste"/>
        <w:numPr>
          <w:ilvl w:val="0"/>
          <w:numId w:val="4"/>
        </w:numPr>
      </w:pPr>
      <w:r>
        <w:t>Les chasses d’eau économe et à double commande (réservoir de chasse 3/6L) seront mis en œuvre.</w:t>
      </w:r>
    </w:p>
    <w:p w:rsidR="003E2AC7" w:rsidRDefault="003E2AC7" w:rsidP="003E2AC7">
      <w:pPr>
        <w:pStyle w:val="Paragraphedeliste"/>
        <w:numPr>
          <w:ilvl w:val="0"/>
          <w:numId w:val="4"/>
        </w:numPr>
      </w:pPr>
      <w:r>
        <w:t xml:space="preserve">Des robinets à fermeture temporisée ou mitigeur avec butée ‘limiteur de débit’ seront installés. </w:t>
      </w:r>
    </w:p>
    <w:p w:rsidR="003E2AC7" w:rsidRDefault="003E2AC7" w:rsidP="003E2AC7">
      <w:pPr>
        <w:pStyle w:val="Paragraphedeliste"/>
        <w:numPr>
          <w:ilvl w:val="0"/>
          <w:numId w:val="4"/>
        </w:numPr>
      </w:pPr>
      <w:r>
        <w:t>Les installations seront équipées de sous-comptage permettant à la fois de connaître et maîtriser les consommations, et de déceler d’éventuelles fuites d’eau dans le circuit de distribution.</w:t>
      </w:r>
    </w:p>
    <w:p w:rsidR="003E2AC7" w:rsidRDefault="003E2AC7" w:rsidP="003E2AC7">
      <w:r>
        <w:t>La maîtrise de la qualité sanitaire de l’eau sera assuré par :</w:t>
      </w:r>
    </w:p>
    <w:p w:rsidR="003E2AC7" w:rsidRDefault="003E2AC7" w:rsidP="003E2AC7">
      <w:pPr>
        <w:pStyle w:val="Paragraphedeliste"/>
        <w:numPr>
          <w:ilvl w:val="0"/>
          <w:numId w:val="4"/>
        </w:numPr>
      </w:pPr>
      <w:r>
        <w:t xml:space="preserve">Le choix des matériaux pour les canalisations (cuivre), réservoirs et différents équipements de raccordement </w:t>
      </w:r>
      <w:r w:rsidR="00B0206C">
        <w:t>en vue d’éviter leur altération plus ou moins rapide.</w:t>
      </w:r>
    </w:p>
    <w:p w:rsidR="00B0206C" w:rsidRPr="003E2AC7" w:rsidRDefault="00B0206C" w:rsidP="003E2AC7">
      <w:pPr>
        <w:pStyle w:val="Paragraphedeliste"/>
        <w:numPr>
          <w:ilvl w:val="0"/>
          <w:numId w:val="4"/>
        </w:numPr>
      </w:pPr>
      <w:r>
        <w:lastRenderedPageBreak/>
        <w:t>La maîtrise de la température dans le réseau intérieur pour limiter le risque de développement de légionelloses. Dans le cadre du projet, le recours à des chauffe-eau instantanés pour la production d’eau chaude éliminent ce risque.</w:t>
      </w:r>
    </w:p>
    <w:p w:rsidR="003E2AC7" w:rsidRDefault="003E2AC7" w:rsidP="003E2AC7">
      <w:pPr>
        <w:pStyle w:val="Paragraphedeliste"/>
      </w:pPr>
    </w:p>
    <w:p w:rsidR="003E2AC7" w:rsidRPr="008A170A" w:rsidRDefault="003E2AC7" w:rsidP="003E2AC7">
      <w:pPr>
        <w:pStyle w:val="Paragraphedeliste"/>
      </w:pPr>
    </w:p>
    <w:sectPr w:rsidR="003E2AC7" w:rsidRPr="008A17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72284"/>
    <w:multiLevelType w:val="hybridMultilevel"/>
    <w:tmpl w:val="9B5450E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745F5"/>
    <w:multiLevelType w:val="hybridMultilevel"/>
    <w:tmpl w:val="61A435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3179F3"/>
    <w:multiLevelType w:val="hybridMultilevel"/>
    <w:tmpl w:val="8BEA22CA"/>
    <w:lvl w:ilvl="0" w:tplc="9CF858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D0D27D4"/>
    <w:multiLevelType w:val="hybridMultilevel"/>
    <w:tmpl w:val="C73C02E2"/>
    <w:lvl w:ilvl="0" w:tplc="1FE4E87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70A"/>
    <w:rsid w:val="00051C31"/>
    <w:rsid w:val="003E2AC7"/>
    <w:rsid w:val="00530A63"/>
    <w:rsid w:val="008A170A"/>
    <w:rsid w:val="00B0206C"/>
    <w:rsid w:val="00E0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70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17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70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17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401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Fadil FOONDUN</dc:creator>
  <cp:lastModifiedBy>Fadil FOONDUN</cp:lastModifiedBy>
  <cp:revision>4</cp:revision>
  <dcterms:created xsi:type="dcterms:W3CDTF">2018-11-05T13:14:00Z</dcterms:created>
  <dcterms:modified xsi:type="dcterms:W3CDTF">2018-11-05T13:42:00Z</dcterms:modified>
</cp:coreProperties>
</file>